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0"/>
        <w:spacing w:line="240" w:after="0" w:lineRule="auto"/>
        <w:ind w:left="283" w:firstLine="567"/>
        <w:jc w:val="both"/>
        <w:rPr>
          <w:rFonts w:hAnsi="Times New Roman" w:ascii="Times New Roman"/>
          <w:b w:val="1"/>
          <w:sz w:val="24"/>
        </w:rPr>
      </w:pPr>
      <w:r>
        <w:rPr>
          <w:rFonts w:hAnsi="Times New Roman" w:ascii="Times New Roman"/>
          <w:b w:val="1"/>
          <w:sz w:val="24"/>
        </w:rPr>
        <w:t>Уголовная ответственность за разглашение данных предварительного следствия</w:t>
      </w:r>
    </w:p>
    <w:p w14:paraId="02000000">
      <w:pPr>
        <w:widowControl w:val="0"/>
        <w:spacing w:line="240" w:after="0" w:lineRule="auto"/>
        <w:ind w:left="283" w:firstLine="567"/>
        <w:jc w:val="both"/>
        <w:rPr>
          <w:rFonts w:hAnsi="Times New Roman" w:ascii="Times New Roman"/>
          <w:sz w:val="24"/>
        </w:rPr>
      </w:pPr>
    </w:p>
    <w:p w14:paraId="03000000">
      <w:pPr>
        <w:widowControl w:val="0"/>
        <w:spacing w:line="240" w:after="0" w:lineRule="auto"/>
        <w:ind w:left="283" w:firstLine="567"/>
        <w:jc w:val="both"/>
        <w:rPr>
          <w:rFonts w:hAnsi="Times New Roman" w:ascii="Times New Roman"/>
          <w:sz w:val="24"/>
        </w:rPr>
      </w:pPr>
      <w:r>
        <w:rPr>
          <w:rFonts w:hAnsi="Times New Roman" w:ascii="Times New Roman"/>
          <w:sz w:val="24"/>
        </w:rPr>
        <w:t>В сложном процессе расследования уголовных дел существенное значение имеет соблюдение установленных законом определенных правил как должностными лицами, осуществляющими уголовное судопроизводство, так и другими его участниками - гражданами, ставшими потерпевшими, подозреваемыми, обвиняемыми, свидетелями и др. У каждого участника уголовного судопроизводства имеются не только права, но и обязанности, которые необходимо соблюдать.</w:t>
      </w:r>
    </w:p>
    <w:p w14:paraId="04000000">
      <w:pPr>
        <w:widowControl w:val="0"/>
        <w:spacing w:line="240" w:after="0" w:lineRule="auto"/>
        <w:ind w:left="283" w:firstLine="567"/>
        <w:jc w:val="both"/>
        <w:rPr>
          <w:rFonts w:hAnsi="Times New Roman" w:ascii="Times New Roman"/>
          <w:sz w:val="24"/>
        </w:rPr>
      </w:pPr>
      <w:r>
        <w:rPr>
          <w:rFonts w:hAnsi="Times New Roman" w:ascii="Times New Roman"/>
          <w:sz w:val="24"/>
        </w:rPr>
        <w:t xml:space="preserve">Так, например, существует запрет на разглашение данных предварительного расследования лицом, предупрежденным в установленном законом порядке о недопустимости их разглашения. За совершение этих действий установлена уголовная ответственность, предусмотренная статьей 310 Уголовного кодекса Российской Федерации (далее </w:t>
      </w:r>
      <w:r>
        <w:rPr>
          <w:rFonts w:hAnsi="Times New Roman" w:ascii="Times New Roman"/>
          <w:sz w:val="24"/>
        </w:rPr>
        <w:t xml:space="preserve">– </w:t>
      </w:r>
      <w:r>
        <w:rPr>
          <w:rFonts w:hAnsi="Times New Roman" w:ascii="Times New Roman"/>
          <w:sz w:val="24"/>
        </w:rPr>
        <w:t>УК РФ).</w:t>
      </w:r>
    </w:p>
    <w:p w14:paraId="05000000">
      <w:pPr>
        <w:widowControl w:val="0"/>
        <w:spacing w:line="240" w:after="0" w:lineRule="auto"/>
        <w:ind w:left="283" w:firstLine="567"/>
        <w:jc w:val="both"/>
        <w:rPr>
          <w:rFonts w:hAnsi="Times New Roman" w:ascii="Times New Roman"/>
          <w:sz w:val="24"/>
        </w:rPr>
      </w:pPr>
      <w:r>
        <w:rPr>
          <w:rFonts w:hAnsi="Times New Roman" w:ascii="Times New Roman"/>
          <w:sz w:val="24"/>
        </w:rPr>
        <w:t>В соответствии с требованиями статьи 161 Уголовно-процессуального кодекса Российской Федерации данные предварительного расследования могут быть преданы гласности лишь с разрешения следователя или дознавателя и только в том объеме, в каком ими будет признано это допустимым, если разглашение не противоречит интересам предварительного расследования и не связано с нарушением прав, свобод и законных интересов участников уголовного судопроизводства.</w:t>
      </w:r>
    </w:p>
    <w:p w14:paraId="06000000">
      <w:pPr>
        <w:widowControl w:val="0"/>
        <w:spacing w:line="240" w:after="0" w:lineRule="auto"/>
        <w:ind w:left="283" w:firstLine="567"/>
        <w:jc w:val="both"/>
        <w:rPr>
          <w:rFonts w:hAnsi="Times New Roman" w:ascii="Times New Roman"/>
          <w:sz w:val="24"/>
        </w:rPr>
      </w:pPr>
      <w:r>
        <w:rPr>
          <w:rFonts w:hAnsi="Times New Roman" w:ascii="Times New Roman"/>
          <w:sz w:val="24"/>
        </w:rPr>
        <w:t>Изначально следователь или дознаватель должен предупредить участников уголовного судопроизводства о недопустимости разглашения без соответствующего разрешения данных предварительного расследования и взять у них подписку с предупреждением об ответственности в соответствии со статьей 310 УК РФ.</w:t>
      </w:r>
    </w:p>
    <w:p w14:paraId="07000000">
      <w:pPr>
        <w:widowControl w:val="0"/>
        <w:spacing w:line="240" w:after="0" w:lineRule="auto"/>
        <w:ind w:left="283" w:firstLine="567"/>
        <w:jc w:val="both"/>
        <w:rPr>
          <w:rFonts w:hAnsi="Times New Roman" w:ascii="Times New Roman"/>
          <w:sz w:val="24"/>
        </w:rPr>
      </w:pPr>
      <w:r>
        <w:rPr>
          <w:rFonts w:hAnsi="Times New Roman" w:ascii="Times New Roman"/>
          <w:sz w:val="24"/>
        </w:rPr>
        <w:t>Отобрание подписки о неразглашении данных предварительного следствия может быть произведено на любой стадии расследования до его окончания, в связи с чем устанавливаемый органами следствия запрет на разглашение данных может касаться как каких-либо определенных сведений, так и любой информации, которая стала или еще станет известной лицу в связи с его участием в расследовании уголовного дела. Таким образом, законодателем предусмотрено, что запрет на разглашение данных предварительного следствия может быть наложен на любые сведения, полученные в ходе досудебного производства: о собранных доказательствах, об источниках этих доказательств, о примененных мерах процессуального принуждения, о планируемых следственных действиях и др. Данные ограничения накладываются на участников уголовного судопроизводства на весь период предварительного расследования.</w:t>
      </w:r>
    </w:p>
    <w:p w14:paraId="08000000">
      <w:pPr>
        <w:widowControl w:val="0"/>
        <w:spacing w:line="240" w:after="0" w:lineRule="auto"/>
        <w:ind w:left="283" w:firstLine="567"/>
        <w:jc w:val="both"/>
        <w:rPr>
          <w:rFonts w:hAnsi="Times New Roman" w:ascii="Times New Roman"/>
          <w:sz w:val="24"/>
        </w:rPr>
      </w:pPr>
      <w:r>
        <w:rPr>
          <w:rFonts w:hAnsi="Times New Roman" w:ascii="Times New Roman"/>
          <w:sz w:val="24"/>
        </w:rPr>
        <w:t>Не допускается разглашение данных о частной жизни участников уголовного судопроизводства без их согласия, а также данных о частной жизни несовершеннолетнего потерпевшего, не достигшего возраста четырнадцати лет, без согласия его законного представителя.</w:t>
      </w:r>
    </w:p>
    <w:p w14:paraId="09000000">
      <w:pPr>
        <w:widowControl w:val="0"/>
        <w:spacing w:line="240" w:after="0" w:lineRule="auto"/>
        <w:ind w:left="283" w:firstLine="567"/>
        <w:jc w:val="both"/>
        <w:rPr>
          <w:rFonts w:hAnsi="Times New Roman" w:ascii="Times New Roman"/>
          <w:sz w:val="24"/>
        </w:rPr>
      </w:pPr>
      <w:r>
        <w:rPr>
          <w:rFonts w:hAnsi="Times New Roman" w:ascii="Times New Roman"/>
          <w:sz w:val="24"/>
        </w:rPr>
        <w:t>Разглашение данных предварительного следствия означает противоправное сообщение, передачу соответствующих сведений лицу или лицам, которым они не были известны, в любой форме (в устной, письменной, с использованием электронных средств и т.п.).</w:t>
      </w:r>
    </w:p>
    <w:p w14:paraId="0A000000">
      <w:pPr>
        <w:widowControl w:val="0"/>
        <w:spacing w:line="240" w:after="0" w:lineRule="auto"/>
        <w:ind w:left="283" w:firstLine="567"/>
        <w:jc w:val="both"/>
        <w:rPr>
          <w:rFonts w:hAnsi="Times New Roman" w:ascii="Times New Roman"/>
          <w:sz w:val="24"/>
        </w:rPr>
      </w:pPr>
      <w:r>
        <w:rPr>
          <w:rFonts w:hAnsi="Times New Roman" w:ascii="Times New Roman"/>
          <w:sz w:val="24"/>
        </w:rPr>
        <w:t>В соответствии со статьей 310 УК РФ незаконное разглашение данных предварительного следствия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14:paraId="0B000000">
      <w:pPr>
        <w:widowControl w:val="0"/>
        <w:spacing w:line="240" w:after="0" w:lineRule="auto"/>
        <w:ind w:left="283" w:firstLine="567"/>
        <w:jc w:val="both"/>
        <w:rPr>
          <w:rFonts w:hAnsi="Times New Roman" w:ascii="Times New Roman"/>
          <w:sz w:val="24"/>
        </w:rPr>
      </w:pPr>
      <w:r>
        <w:rPr>
          <w:rFonts w:hAnsi="Times New Roman" w:ascii="Times New Roman"/>
          <w:sz w:val="24"/>
        </w:rPr>
        <w:t>При решении вопроса о наличии либо отсутствии в содеянном состава преступления, предусмотренного статьей 310 УК РФ, принимается во внимание не только сам факт разглашения данных предварительного расследования, но и учитываются существо разглашенных сведений, конкретные условия времени, места и обстановки совершения деяния, характер и степень его общественной опасности, а в случаях, когда данные предварительного расследования стали достоянием гласности до их разглашения лицом, привлеченным к уголовной ответственности, еще и обстоятельства, при которых данные обстоятельства были преданы гласности.</w:t>
      </w:r>
    </w:p>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0"/>
      </w:rPr>
    </w:rPrDefault>
    <w:pPrDefault>
      <w:pPr>
        <w:widowControl w:val="1"/>
        <w:spacing w:line="240" w:before="0" w:after="0" w:lineRule="auto"/>
        <w:ind w:left="0" w:right="0" w:firstLine="0"/>
        <w:jc w:val="left"/>
      </w:pPr>
    </w:pPrDefault>
  </w:docDefaults>
  <w:latentStyles w:defUIPriority="99" w:defQFormat="0" w:count="25" w:defSemiHidden="1" w:defLockedState="0" w:defUnhideWhenUsed="1">
    <w:lsdException w:unhideWhenUsed="0" w:semiHidden="0" w:name="Normal" w:qFormat="1" w:uiPriority="0"/>
    <w:lsdException w:unhideWhenUsed="0" w:semiHidden="0" w:name="heading 1" w:qFormat="1" w:uiPriority="9"/>
    <w:lsdException w:unhideWhenUsed="0" w:semiHidden="0" w:name="heading 2" w:qFormat="1" w:uiPriority="9"/>
    <w:lsdException w:unhideWhenUsed="0" w:semiHidden="0" w:name="heading 3" w:qFormat="1" w:uiPriority="9"/>
    <w:lsdException w:unhideWhenUsed="0" w:semiHidden="0" w:name="heading 4" w:qFormat="1" w:uiPriority="9"/>
    <w:lsdException w:unhideWhenUsed="0" w:semiHidden="0" w:name="heading 5" w:qFormat="1" w:uiPriority="9"/>
    <w:lsdException w:unhideWhenUsed="1" w:semiHidden="1" w:name="heading 6" w:qFormat="1" w:uiPriority="9"/>
    <w:lsdException w:unhideWhenUsed="1" w:semiHidden="1" w:name="heading 7" w:qFormat="1" w:uiPriority="9"/>
    <w:lsdException w:unhideWhenUsed="1" w:semiHidden="1" w:name="heading 8" w:qFormat="1" w:uiPriority="9"/>
    <w:lsdException w:unhideWhenUsed="1" w:semiHidden="1" w:name="heading 9" w:qFormat="1" w:uiPriority="9"/>
    <w:lsdException w:unhideWhenUsed="0" w:semiHidden="0" w:name="Title" w:qFormat="1" w:uiPriority="10"/>
    <w:lsdException w:unhideWhenUsed="0" w:semiHidden="0" w:name="Subtitle" w:qFormat="1" w:uiPriority="11"/>
    <w:lsdException w:unhideWhenUsed="0" w:semiHidden="0" w:name="Header and Footer" w:qFormat="0"/>
    <w:lsdException w:unhideWhenUsed="0" w:semiHidden="0" w:name="Footnote" w:qFormat="0"/>
    <w:lsdException w:unhideWhenUsed="0" w:semiHidden="0" w:name="Endnote" w:qFormat="0"/>
    <w:lsdException w:unhideWhenUsed="0" w:semiHidden="0" w:name="toc 1" w:qFormat="0" w:uiPriority="39"/>
    <w:lsdException w:unhideWhenUsed="0" w:semiHidden="0" w:name="toc 2" w:qFormat="0" w:uiPriority="39"/>
    <w:lsdException w:unhideWhenUsed="0" w:semiHidden="0" w:name="toc 3" w:qFormat="0" w:uiPriority="39"/>
    <w:lsdException w:unhideWhenUsed="0" w:semiHidden="0" w:name="toc 4" w:qFormat="0" w:uiPriority="39"/>
    <w:lsdException w:unhideWhenUsed="0" w:semiHidden="0" w:name="toc 5" w:qFormat="0" w:uiPriority="39"/>
    <w:lsdException w:unhideWhenUsed="0" w:semiHidden="0" w:name="toc 6" w:qFormat="0" w:uiPriority="39"/>
    <w:lsdException w:unhideWhenUsed="0" w:semiHidden="0" w:name="toc 7" w:qFormat="0" w:uiPriority="39"/>
    <w:lsdException w:unhideWhenUsed="0" w:semiHidden="0" w:name="toc 8" w:qFormat="0" w:uiPriority="39"/>
    <w:lsdException w:unhideWhenUsed="0" w:semiHidden="0" w:name="toc 9" w:qFormat="0" w:uiPriority="39"/>
    <w:lsdException w:unhideWhenUsed="0" w:semiHidden="0" w:name="Hyperlink" w:qFormat="0"/>
  </w:latentStyles>
  <w:style w:default="1" w:styleId="Style_1" w:type="paragraph">
    <w:name w:val="Normal"/>
    <w:link w:val="Style_1_ch"/>
    <w:uiPriority w:val="0"/>
    <w:qFormat/>
    <w:rPr>
      <w:sz w:val="24"/>
    </w:rPr>
  </w:style>
  <w:style w:default="1" w:styleId="Style_1_ch" w:type="character">
    <w:name w:val="Normal"/>
    <w:link w:val="Style_1"/>
    <w:rPr>
      <w:sz w:val="24"/>
    </w:rPr>
  </w:style>
  <w:style w:styleId="Style_2" w:type="paragraph">
    <w:name w:val="toc 2"/>
    <w:next w:val="Style_1"/>
    <w:link w:val="Style_2_ch"/>
    <w:uiPriority w:val="39"/>
    <w:pPr>
      <w:ind w:left="200" w:firstLine="0"/>
      <w:jc w:val="left"/>
    </w:pPr>
    <w:rPr>
      <w:rFonts w:hAnsi="XO Thames" w:ascii="XO Thames"/>
      <w:sz w:val="28"/>
    </w:rPr>
  </w:style>
  <w:style w:styleId="Style_2_ch" w:type="character">
    <w:name w:val="toc 2"/>
    <w:link w:val="Style_2"/>
    <w:rPr>
      <w:rFonts w:hAnsi="XO Thames" w:ascii="XO Thames"/>
      <w:sz w:val="28"/>
    </w:rPr>
  </w:style>
  <w:style w:styleId="Style_3" w:type="paragraph">
    <w:name w:val="toc 4"/>
    <w:next w:val="Style_1"/>
    <w:link w:val="Style_3_ch"/>
    <w:uiPriority w:val="39"/>
    <w:pPr>
      <w:ind w:left="600" w:firstLine="0"/>
      <w:jc w:val="left"/>
    </w:pPr>
    <w:rPr>
      <w:rFonts w:hAnsi="XO Thames" w:ascii="XO Thames"/>
      <w:sz w:val="28"/>
    </w:rPr>
  </w:style>
  <w:style w:styleId="Style_3_ch" w:type="character">
    <w:name w:val="toc 4"/>
    <w:link w:val="Style_3"/>
    <w:rPr>
      <w:rFonts w:hAnsi="XO Thames" w:ascii="XO Thames"/>
      <w:sz w:val="28"/>
    </w:rPr>
  </w:style>
  <w:style w:styleId="Style_4" w:type="paragraph">
    <w:name w:val="toc 6"/>
    <w:next w:val="Style_1"/>
    <w:link w:val="Style_4_ch"/>
    <w:uiPriority w:val="39"/>
    <w:pPr>
      <w:ind w:left="1000" w:firstLine="0"/>
      <w:jc w:val="left"/>
    </w:pPr>
    <w:rPr>
      <w:rFonts w:hAnsi="XO Thames" w:ascii="XO Thames"/>
      <w:sz w:val="28"/>
    </w:rPr>
  </w:style>
  <w:style w:styleId="Style_4_ch" w:type="character">
    <w:name w:val="toc 6"/>
    <w:link w:val="Style_4"/>
    <w:rPr>
      <w:rFonts w:hAnsi="XO Thames" w:ascii="XO Thames"/>
      <w:sz w:val="28"/>
    </w:rPr>
  </w:style>
  <w:style w:styleId="Style_5" w:type="paragraph">
    <w:name w:val="toc 7"/>
    <w:next w:val="Style_1"/>
    <w:link w:val="Style_5_ch"/>
    <w:uiPriority w:val="39"/>
    <w:pPr>
      <w:ind w:left="1200" w:firstLine="0"/>
      <w:jc w:val="left"/>
    </w:pPr>
    <w:rPr>
      <w:rFonts w:hAnsi="XO Thames" w:ascii="XO Thames"/>
      <w:sz w:val="28"/>
    </w:rPr>
  </w:style>
  <w:style w:styleId="Style_5_ch" w:type="character">
    <w:name w:val="toc 7"/>
    <w:link w:val="Style_5"/>
    <w:rPr>
      <w:rFonts w:hAnsi="XO Thames" w:ascii="XO Thames"/>
      <w:sz w:val="28"/>
    </w:rPr>
  </w:style>
  <w:style w:styleId="Style_6" w:type="paragraph">
    <w:name w:val="Endnote"/>
    <w:link w:val="Style_6_ch"/>
    <w:pPr>
      <w:ind w:left="0" w:firstLine="851"/>
      <w:jc w:val="both"/>
    </w:pPr>
    <w:rPr>
      <w:rFonts w:hAnsi="XO Thames" w:ascii="XO Thames"/>
      <w:sz w:val="22"/>
    </w:rPr>
  </w:style>
  <w:style w:styleId="Style_6_ch" w:type="character">
    <w:name w:val="Endnote"/>
    <w:link w:val="Style_6"/>
    <w:rPr>
      <w:rFonts w:hAnsi="XO Thames" w:ascii="XO Thames"/>
      <w:sz w:val="22"/>
    </w:rPr>
  </w:style>
  <w:style w:styleId="Style_7" w:type="paragraph">
    <w:name w:val="heading 3"/>
    <w:next w:val="Style_1"/>
    <w:link w:val="Style_7_ch"/>
    <w:uiPriority w:val="9"/>
    <w:qFormat/>
    <w:pPr>
      <w:spacing w:before="120" w:after="120"/>
      <w:ind/>
      <w:jc w:val="both"/>
      <w:outlineLvl w:val="2"/>
    </w:pPr>
    <w:rPr>
      <w:rFonts w:hAnsi="XO Thames" w:ascii="XO Thames"/>
      <w:b w:val="1"/>
      <w:sz w:val="26"/>
    </w:rPr>
  </w:style>
  <w:style w:styleId="Style_7_ch" w:type="character">
    <w:name w:val="heading 3"/>
    <w:link w:val="Style_7"/>
    <w:rPr>
      <w:rFonts w:hAnsi="XO Thames" w:ascii="XO Thames"/>
      <w:b w:val="1"/>
      <w:sz w:val="26"/>
    </w:rPr>
  </w:style>
  <w:style w:styleId="Style_8" w:type="paragraph">
    <w:name w:val="toc 3"/>
    <w:next w:val="Style_1"/>
    <w:link w:val="Style_8_ch"/>
    <w:uiPriority w:val="39"/>
    <w:pPr>
      <w:ind w:left="400" w:firstLine="0"/>
      <w:jc w:val="left"/>
    </w:pPr>
    <w:rPr>
      <w:rFonts w:hAnsi="XO Thames" w:ascii="XO Thames"/>
      <w:sz w:val="28"/>
    </w:rPr>
  </w:style>
  <w:style w:styleId="Style_8_ch" w:type="character">
    <w:name w:val="toc 3"/>
    <w:link w:val="Style_8"/>
    <w:rPr>
      <w:rFonts w:hAnsi="XO Thames" w:ascii="XO Thames"/>
      <w:sz w:val="28"/>
    </w:rPr>
  </w:style>
  <w:style w:styleId="Style_9" w:type="paragraph">
    <w:name w:val="heading 5"/>
    <w:next w:val="Style_1"/>
    <w:link w:val="Style_9_ch"/>
    <w:uiPriority w:val="9"/>
    <w:qFormat/>
    <w:pPr>
      <w:spacing w:before="120" w:after="120"/>
      <w:ind/>
      <w:jc w:val="both"/>
      <w:outlineLvl w:val="4"/>
    </w:pPr>
    <w:rPr>
      <w:rFonts w:hAnsi="XO Thames" w:ascii="XO Thames"/>
      <w:b w:val="1"/>
      <w:sz w:val="22"/>
    </w:rPr>
  </w:style>
  <w:style w:styleId="Style_9_ch" w:type="character">
    <w:name w:val="heading 5"/>
    <w:link w:val="Style_9"/>
    <w:rPr>
      <w:rFonts w:hAnsi="XO Thames" w:ascii="XO Thames"/>
      <w:b w:val="1"/>
      <w:sz w:val="22"/>
    </w:rPr>
  </w:style>
  <w:style w:styleId="Style_10" w:type="paragraph">
    <w:name w:val="heading 1"/>
    <w:next w:val="Style_1"/>
    <w:link w:val="Style_10_ch"/>
    <w:uiPriority w:val="9"/>
    <w:qFormat/>
    <w:pPr>
      <w:spacing w:before="120" w:after="120"/>
      <w:ind/>
      <w:jc w:val="both"/>
      <w:outlineLvl w:val="0"/>
    </w:pPr>
    <w:rPr>
      <w:rFonts w:hAnsi="XO Thames" w:ascii="XO Thames"/>
      <w:b w:val="1"/>
      <w:sz w:val="32"/>
    </w:rPr>
  </w:style>
  <w:style w:styleId="Style_10_ch" w:type="character">
    <w:name w:val="heading 1"/>
    <w:link w:val="Style_10"/>
    <w:rPr>
      <w:rFonts w:hAnsi="XO Thames" w:asci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left="0" w:firstLine="851"/>
      <w:jc w:val="both"/>
    </w:pPr>
    <w:rPr>
      <w:rFonts w:hAnsi="XO Thames" w:ascii="XO Thames"/>
      <w:sz w:val="22"/>
    </w:rPr>
  </w:style>
  <w:style w:styleId="Style_12_ch" w:type="character">
    <w:name w:val="Footnote"/>
    <w:link w:val="Style_12"/>
    <w:rPr>
      <w:rFonts w:hAnsi="XO Thames" w:ascii="XO Thames"/>
      <w:sz w:val="22"/>
    </w:rPr>
  </w:style>
  <w:style w:styleId="Style_13" w:type="paragraph">
    <w:name w:val="toc 1"/>
    <w:next w:val="Style_1"/>
    <w:link w:val="Style_13_ch"/>
    <w:uiPriority w:val="39"/>
    <w:pPr>
      <w:ind w:left="0" w:firstLine="0"/>
      <w:jc w:val="left"/>
    </w:pPr>
    <w:rPr>
      <w:rFonts w:hAnsi="XO Thames" w:ascii="XO Thames"/>
      <w:b w:val="1"/>
      <w:sz w:val="28"/>
    </w:rPr>
  </w:style>
  <w:style w:styleId="Style_13_ch" w:type="character">
    <w:name w:val="toc 1"/>
    <w:link w:val="Style_13"/>
    <w:rPr>
      <w:rFonts w:hAnsi="XO Thames" w:ascii="XO Thames"/>
      <w:b w:val="1"/>
      <w:sz w:val="28"/>
    </w:rPr>
  </w:style>
  <w:style w:styleId="Style_14" w:type="paragraph">
    <w:name w:val="Header and Footer"/>
    <w:link w:val="Style_14_ch"/>
    <w:pPr>
      <w:spacing w:line="240" w:lineRule="auto"/>
      <w:ind/>
      <w:jc w:val="both"/>
    </w:pPr>
    <w:rPr>
      <w:rFonts w:hAnsi="XO Thames" w:ascii="XO Thames"/>
      <w:sz w:val="28"/>
    </w:rPr>
  </w:style>
  <w:style w:styleId="Style_14_ch" w:type="character">
    <w:name w:val="Header and Footer"/>
    <w:link w:val="Style_14"/>
    <w:rPr>
      <w:rFonts w:hAnsi="XO Thames" w:ascii="XO Thames"/>
      <w:sz w:val="28"/>
    </w:rPr>
  </w:style>
  <w:style w:styleId="Style_15" w:type="paragraph">
    <w:name w:val="toc 9"/>
    <w:next w:val="Style_1"/>
    <w:link w:val="Style_15_ch"/>
    <w:uiPriority w:val="39"/>
    <w:pPr>
      <w:ind w:left="1600" w:firstLine="0"/>
      <w:jc w:val="left"/>
    </w:pPr>
    <w:rPr>
      <w:rFonts w:hAnsi="XO Thames" w:ascii="XO Thames"/>
      <w:sz w:val="28"/>
    </w:rPr>
  </w:style>
  <w:style w:styleId="Style_15_ch" w:type="character">
    <w:name w:val="toc 9"/>
    <w:link w:val="Style_15"/>
    <w:rPr>
      <w:rFonts w:hAnsi="XO Thames" w:ascii="XO Thames"/>
      <w:sz w:val="28"/>
    </w:rPr>
  </w:style>
  <w:style w:styleId="Style_16" w:type="paragraph">
    <w:name w:val="toc 8"/>
    <w:next w:val="Style_1"/>
    <w:link w:val="Style_16_ch"/>
    <w:uiPriority w:val="39"/>
    <w:pPr>
      <w:ind w:left="1400" w:firstLine="0"/>
      <w:jc w:val="left"/>
    </w:pPr>
    <w:rPr>
      <w:rFonts w:hAnsi="XO Thames" w:ascii="XO Thames"/>
      <w:sz w:val="28"/>
    </w:rPr>
  </w:style>
  <w:style w:styleId="Style_16_ch" w:type="character">
    <w:name w:val="toc 8"/>
    <w:link w:val="Style_16"/>
    <w:rPr>
      <w:rFonts w:hAnsi="XO Thames" w:ascii="XO Thames"/>
      <w:sz w:val="28"/>
    </w:rPr>
  </w:style>
  <w:style w:styleId="Style_17" w:type="paragraph">
    <w:name w:val="Default Paragraph Font"/>
    <w:link w:val="Style_17_ch"/>
  </w:style>
  <w:style w:styleId="Style_17_ch" w:type="character">
    <w:name w:val="Default Paragraph Font"/>
    <w:link w:val="Style_17"/>
  </w:style>
  <w:style w:styleId="Style_18" w:type="paragraph">
    <w:name w:val="toc 5"/>
    <w:next w:val="Style_1"/>
    <w:link w:val="Style_18_ch"/>
    <w:uiPriority w:val="39"/>
    <w:pPr>
      <w:ind w:left="800" w:firstLine="0"/>
      <w:jc w:val="left"/>
    </w:pPr>
    <w:rPr>
      <w:rFonts w:hAnsi="XO Thames" w:ascii="XO Thames"/>
      <w:sz w:val="28"/>
    </w:rPr>
  </w:style>
  <w:style w:styleId="Style_18_ch" w:type="character">
    <w:name w:val="toc 5"/>
    <w:link w:val="Style_18"/>
    <w:rPr>
      <w:rFonts w:hAnsi="XO Thames" w:ascii="XO Thames"/>
      <w:sz w:val="28"/>
    </w:rPr>
  </w:style>
  <w:style w:styleId="Style_19" w:type="paragraph">
    <w:name w:val="Subtitle"/>
    <w:next w:val="Style_1"/>
    <w:link w:val="Style_19_ch"/>
    <w:uiPriority w:val="11"/>
    <w:qFormat/>
    <w:pPr>
      <w:ind/>
      <w:jc w:val="both"/>
    </w:pPr>
    <w:rPr>
      <w:rFonts w:hAnsi="XO Thames" w:ascii="XO Thames"/>
      <w:i w:val="1"/>
      <w:sz w:val="24"/>
    </w:rPr>
  </w:style>
  <w:style w:styleId="Style_19_ch" w:type="character">
    <w:name w:val="Subtitle"/>
    <w:link w:val="Style_19"/>
    <w:rPr>
      <w:rFonts w:hAnsi="XO Thames" w:ascii="XO Thames"/>
      <w:i w:val="1"/>
      <w:sz w:val="24"/>
    </w:rPr>
  </w:style>
  <w:style w:styleId="Style_20" w:type="paragraph">
    <w:name w:val="Title"/>
    <w:next w:val="Style_1"/>
    <w:link w:val="Style_20_ch"/>
    <w:uiPriority w:val="10"/>
    <w:qFormat/>
    <w:pPr>
      <w:spacing w:before="567" w:after="567"/>
      <w:ind/>
      <w:jc w:val="center"/>
    </w:pPr>
    <w:rPr>
      <w:rFonts w:hAnsi="XO Thames" w:ascii="XO Thames"/>
      <w:b w:val="1"/>
      <w:caps w:val="1"/>
      <w:sz w:val="40"/>
    </w:rPr>
  </w:style>
  <w:style w:styleId="Style_20_ch" w:type="character">
    <w:name w:val="Title"/>
    <w:link w:val="Style_20"/>
    <w:rPr>
      <w:rFonts w:hAnsi="XO Thames" w:ascii="XO Thames"/>
      <w:b w:val="1"/>
      <w:caps w:val="1"/>
      <w:sz w:val="40"/>
    </w:rPr>
  </w:style>
  <w:style w:styleId="Style_21" w:type="paragraph">
    <w:name w:val="heading 4"/>
    <w:next w:val="Style_1"/>
    <w:link w:val="Style_21_ch"/>
    <w:uiPriority w:val="9"/>
    <w:qFormat/>
    <w:pPr>
      <w:spacing w:before="120" w:after="120"/>
      <w:ind/>
      <w:jc w:val="both"/>
      <w:outlineLvl w:val="3"/>
    </w:pPr>
    <w:rPr>
      <w:rFonts w:hAnsi="XO Thames" w:ascii="XO Thames"/>
      <w:b w:val="1"/>
      <w:sz w:val="24"/>
    </w:rPr>
  </w:style>
  <w:style w:styleId="Style_21_ch" w:type="character">
    <w:name w:val="heading 4"/>
    <w:link w:val="Style_21"/>
    <w:rPr>
      <w:rFonts w:hAnsi="XO Thames" w:ascii="XO Thames"/>
      <w:b w:val="1"/>
      <w:sz w:val="24"/>
    </w:rPr>
  </w:style>
  <w:style w:styleId="Style_22" w:type="paragraph">
    <w:name w:val="heading 2"/>
    <w:next w:val="Style_1"/>
    <w:link w:val="Style_22_ch"/>
    <w:uiPriority w:val="9"/>
    <w:qFormat/>
    <w:pPr>
      <w:spacing w:before="120" w:after="120"/>
      <w:ind/>
      <w:jc w:val="both"/>
      <w:outlineLvl w:val="1"/>
    </w:pPr>
    <w:rPr>
      <w:rFonts w:hAnsi="XO Thames" w:ascii="XO Thames"/>
      <w:b w:val="1"/>
      <w:sz w:val="28"/>
    </w:rPr>
  </w:style>
  <w:style w:styleId="Style_22_ch" w:type="character">
    <w:name w:val="heading 2"/>
    <w:link w:val="Style_22"/>
    <w:rPr>
      <w:rFonts w:hAnsi="XO Thames" w:ascii="XO Thames"/>
      <w:b w:val="1"/>
      <w:sz w:val="28"/>
    </w:rPr>
  </w:style>
  <w:style w:type="character" w:customStyle="1" w:styleId="et_1">
    <w:name w:val="et_1"/>
    <w:rPr>
      <w:spacing w:val="10"/>
    </w:rPr>
    <w:hidden/>
  </w:style>
  <w:style w:type="character" w:customStyle="1" w:styleId="et_2">
    <w:name w:val="et_2"/>
    <w:rPr>
      <w:spacing w:val="20"/>
    </w:rPr>
    <w:hidden/>
  </w:style>
  <w:style w:type="character" w:customStyle="1" w:styleId="et_3">
    <w:name w:val="et_3"/>
    <w:rPr>
      <w:spacing w:val="30"/>
    </w:rPr>
    <w:hidden/>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2026-04-15T09:52:47Z</dcterms:created>
  <dcterms:modified xsi:type="dcterms:W3CDTF">2026-04-15T09:52:47Z</dcterms:modified>
</cp:coreProperties>
</file>